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FA55D" w14:textId="77777777" w:rsidR="00FE067E" w:rsidRPr="00327213" w:rsidRDefault="00CD36CF" w:rsidP="00A527AD">
      <w:pPr>
        <w:pStyle w:val="TitlePageOrigin"/>
        <w:rPr>
          <w:color w:val="auto"/>
        </w:rPr>
      </w:pPr>
      <w:r w:rsidRPr="00327213">
        <w:rPr>
          <w:color w:val="auto"/>
        </w:rPr>
        <w:t xml:space="preserve">WEST virginia </w:t>
      </w:r>
      <w:r w:rsidR="00D05E9E" w:rsidRPr="00327213">
        <w:rPr>
          <w:color w:val="auto"/>
        </w:rPr>
        <w:t>Legislature</w:t>
      </w:r>
    </w:p>
    <w:p w14:paraId="50E7B90D" w14:textId="064CE3A4" w:rsidR="00CD36CF" w:rsidRPr="00327213" w:rsidRDefault="00FB7A91" w:rsidP="00CD36CF">
      <w:pPr>
        <w:pStyle w:val="TitlePageSession"/>
        <w:rPr>
          <w:color w:val="auto"/>
        </w:rPr>
      </w:pPr>
      <w:r w:rsidRPr="00327213">
        <w:rPr>
          <w:color w:val="auto"/>
        </w:rPr>
        <w:t>20</w:t>
      </w:r>
      <w:r w:rsidR="004263D4" w:rsidRPr="00327213">
        <w:rPr>
          <w:color w:val="auto"/>
        </w:rPr>
        <w:t xml:space="preserve">22 </w:t>
      </w:r>
      <w:r w:rsidR="00CD36CF" w:rsidRPr="00327213">
        <w:rPr>
          <w:color w:val="auto"/>
        </w:rPr>
        <w:t>regular session</w:t>
      </w:r>
    </w:p>
    <w:p w14:paraId="64B30083" w14:textId="77777777" w:rsidR="00CD36CF" w:rsidRPr="00327213" w:rsidRDefault="002C2668"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327213">
            <w:rPr>
              <w:color w:val="auto"/>
            </w:rPr>
            <w:t>Introduced</w:t>
          </w:r>
        </w:sdtContent>
      </w:sdt>
    </w:p>
    <w:p w14:paraId="422784CC" w14:textId="15A2BFFF" w:rsidR="00CD36CF" w:rsidRPr="00327213" w:rsidRDefault="002C2668"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327213">
            <w:rPr>
              <w:color w:val="auto"/>
            </w:rPr>
            <w:t>House</w:t>
          </w:r>
        </w:sdtContent>
      </w:sdt>
      <w:r w:rsidR="00303684" w:rsidRPr="00327213">
        <w:rPr>
          <w:color w:val="auto"/>
        </w:rPr>
        <w:t xml:space="preserve"> </w:t>
      </w:r>
      <w:r w:rsidR="00CD36CF" w:rsidRPr="00327213">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4354</w:t>
          </w:r>
        </w:sdtContent>
      </w:sdt>
    </w:p>
    <w:p w14:paraId="011E4C79" w14:textId="57E7A241" w:rsidR="00CD36CF" w:rsidRPr="00327213" w:rsidRDefault="00CD36CF" w:rsidP="00CD36CF">
      <w:pPr>
        <w:pStyle w:val="Sponsors"/>
        <w:rPr>
          <w:color w:val="auto"/>
        </w:rPr>
      </w:pPr>
      <w:r w:rsidRPr="00327213">
        <w:rPr>
          <w:color w:val="auto"/>
        </w:rPr>
        <w:t xml:space="preserve">By </w:t>
      </w:r>
      <w:sdt>
        <w:sdtPr>
          <w:rPr>
            <w:color w:val="auto"/>
          </w:rPr>
          <w:tag w:val="Sponsors"/>
          <w:id w:val="1589585889"/>
          <w:placeholder>
            <w:docPart w:val="EAE45A651D4745E790ECB2ACB0743862"/>
          </w:placeholder>
          <w:text w:multiLine="1"/>
        </w:sdtPr>
        <w:sdtEndPr/>
        <w:sdtContent>
          <w:r w:rsidR="002D6D98" w:rsidRPr="00327213">
            <w:rPr>
              <w:color w:val="auto"/>
            </w:rPr>
            <w:t>Delegate</w:t>
          </w:r>
          <w:r w:rsidR="00A63B51">
            <w:rPr>
              <w:color w:val="auto"/>
            </w:rPr>
            <w:t>s</w:t>
          </w:r>
          <w:r w:rsidR="004263D4" w:rsidRPr="00327213">
            <w:rPr>
              <w:color w:val="auto"/>
            </w:rPr>
            <w:t xml:space="preserve"> Pritt</w:t>
          </w:r>
          <w:r w:rsidR="00A63B51">
            <w:rPr>
              <w:color w:val="auto"/>
            </w:rPr>
            <w:t xml:space="preserve"> and Dean</w:t>
          </w:r>
        </w:sdtContent>
      </w:sdt>
    </w:p>
    <w:p w14:paraId="02686094" w14:textId="31CEEF6C" w:rsidR="00E831B3" w:rsidRPr="00327213" w:rsidRDefault="00CD36CF" w:rsidP="00F77D31">
      <w:pPr>
        <w:pStyle w:val="References"/>
        <w:rPr>
          <w:color w:val="auto"/>
        </w:rPr>
      </w:pPr>
      <w:r w:rsidRPr="00327213">
        <w:rPr>
          <w:color w:val="auto"/>
        </w:rPr>
        <w:t>[</w:t>
      </w:r>
      <w:sdt>
        <w:sdtPr>
          <w:rPr>
            <w:color w:val="auto"/>
          </w:rPr>
          <w:tag w:val="References"/>
          <w:id w:val="-1043047873"/>
          <w:placeholder>
            <w:docPart w:val="72F96FE023FE4DCF8CE63779FEE0FE2B"/>
          </w:placeholder>
          <w:text w:multiLine="1"/>
        </w:sdtPr>
        <w:sdtEndPr/>
        <w:sdtContent>
          <w:r w:rsidR="002C2668">
            <w:rPr>
              <w:color w:val="auto"/>
            </w:rPr>
            <w:t>Introduced January 24, 2022; Referred to the Committee on Workforce Development then the Judiciary</w:t>
          </w:r>
        </w:sdtContent>
      </w:sdt>
      <w:r w:rsidRPr="00327213">
        <w:rPr>
          <w:color w:val="auto"/>
        </w:rPr>
        <w:t>]</w:t>
      </w:r>
    </w:p>
    <w:p w14:paraId="794DBE18" w14:textId="77777777" w:rsidR="00303684" w:rsidRPr="00327213" w:rsidRDefault="0000526A" w:rsidP="00303684">
      <w:pPr>
        <w:pStyle w:val="TitleSection"/>
        <w:rPr>
          <w:color w:val="auto"/>
        </w:rPr>
      </w:pPr>
      <w:r w:rsidRPr="00327213">
        <w:rPr>
          <w:color w:val="auto"/>
        </w:rPr>
        <w:lastRenderedPageBreak/>
        <w:t>A BILL</w:t>
      </w:r>
      <w:r w:rsidR="00D4466D" w:rsidRPr="00327213">
        <w:rPr>
          <w:color w:val="auto"/>
        </w:rPr>
        <w:t xml:space="preserve"> to</w:t>
      </w:r>
      <w:r w:rsidR="008E61EE" w:rsidRPr="00327213">
        <w:rPr>
          <w:color w:val="auto"/>
        </w:rPr>
        <w:t xml:space="preserve"> amend the Code of West Virginia, 1931, as amended, by adding thereto a new </w:t>
      </w:r>
      <w:r w:rsidR="008742B6" w:rsidRPr="00327213">
        <w:rPr>
          <w:color w:val="auto"/>
        </w:rPr>
        <w:t>article</w:t>
      </w:r>
      <w:r w:rsidR="008E61EE" w:rsidRPr="00327213">
        <w:rPr>
          <w:color w:val="auto"/>
        </w:rPr>
        <w:t>, designated</w:t>
      </w:r>
      <w:r w:rsidR="008742B6" w:rsidRPr="00327213">
        <w:rPr>
          <w:color w:val="auto"/>
        </w:rPr>
        <w:t xml:space="preserve"> </w:t>
      </w:r>
      <w:r w:rsidR="00DF16EC" w:rsidRPr="00327213">
        <w:rPr>
          <w:color w:val="auto"/>
        </w:rPr>
        <w:t>§</w:t>
      </w:r>
      <w:r w:rsidR="008742B6" w:rsidRPr="00327213">
        <w:rPr>
          <w:color w:val="auto"/>
        </w:rPr>
        <w:t xml:space="preserve">29-6A-1, </w:t>
      </w:r>
      <w:r w:rsidR="00DF16EC" w:rsidRPr="00327213">
        <w:rPr>
          <w:color w:val="auto"/>
        </w:rPr>
        <w:t>§</w:t>
      </w:r>
      <w:r w:rsidR="008742B6" w:rsidRPr="00327213">
        <w:rPr>
          <w:color w:val="auto"/>
        </w:rPr>
        <w:t xml:space="preserve">29-6A-2, </w:t>
      </w:r>
      <w:r w:rsidR="00DF16EC" w:rsidRPr="00327213">
        <w:rPr>
          <w:color w:val="auto"/>
        </w:rPr>
        <w:t>§</w:t>
      </w:r>
      <w:r w:rsidR="008742B6" w:rsidRPr="00327213">
        <w:rPr>
          <w:color w:val="auto"/>
        </w:rPr>
        <w:t xml:space="preserve">29-6A-3, </w:t>
      </w:r>
      <w:r w:rsidR="00DF16EC" w:rsidRPr="00327213">
        <w:rPr>
          <w:color w:val="auto"/>
        </w:rPr>
        <w:t>§</w:t>
      </w:r>
      <w:r w:rsidR="008742B6" w:rsidRPr="00327213">
        <w:rPr>
          <w:color w:val="auto"/>
        </w:rPr>
        <w:t xml:space="preserve">29-6A-4 and </w:t>
      </w:r>
      <w:r w:rsidR="00DF16EC" w:rsidRPr="00327213">
        <w:rPr>
          <w:color w:val="auto"/>
        </w:rPr>
        <w:t>§</w:t>
      </w:r>
      <w:r w:rsidR="008742B6" w:rsidRPr="00327213">
        <w:rPr>
          <w:color w:val="auto"/>
        </w:rPr>
        <w:t xml:space="preserve">29-6A-5, </w:t>
      </w:r>
      <w:r w:rsidR="00115E81" w:rsidRPr="00327213">
        <w:rPr>
          <w:color w:val="auto"/>
        </w:rPr>
        <w:t xml:space="preserve">all </w:t>
      </w:r>
      <w:r w:rsidR="008E61EE" w:rsidRPr="00327213">
        <w:rPr>
          <w:color w:val="auto"/>
        </w:rPr>
        <w:t>relating to</w:t>
      </w:r>
      <w:r w:rsidR="00115E81" w:rsidRPr="00327213">
        <w:rPr>
          <w:color w:val="auto"/>
        </w:rPr>
        <w:t xml:space="preserve"> enacting the Ban-the-Box Act</w:t>
      </w:r>
      <w:r w:rsidR="002D6D98" w:rsidRPr="00327213">
        <w:rPr>
          <w:color w:val="auto"/>
        </w:rPr>
        <w:t xml:space="preserve">, </w:t>
      </w:r>
      <w:r w:rsidR="00115E81" w:rsidRPr="00327213">
        <w:rPr>
          <w:color w:val="auto"/>
        </w:rPr>
        <w:t xml:space="preserve">prohibiting public employers from asking applicants for employment to disclose information concerning the applicant’s criminal record or history, </w:t>
      </w:r>
      <w:r w:rsidR="00F33B83" w:rsidRPr="00327213">
        <w:rPr>
          <w:color w:val="auto"/>
        </w:rPr>
        <w:t>under certain circumstances.</w:t>
      </w:r>
    </w:p>
    <w:p w14:paraId="36828A21" w14:textId="77777777" w:rsidR="00303684" w:rsidRPr="00327213" w:rsidRDefault="00303684" w:rsidP="00303684">
      <w:pPr>
        <w:pStyle w:val="EnactingClause"/>
        <w:rPr>
          <w:color w:val="auto"/>
        </w:rPr>
        <w:sectPr w:rsidR="00303684" w:rsidRPr="00327213" w:rsidSect="00DA36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27213">
        <w:rPr>
          <w:color w:val="auto"/>
        </w:rPr>
        <w:t>Be it enacted by the Legislature of West Virginia:</w:t>
      </w:r>
    </w:p>
    <w:p w14:paraId="33099F06" w14:textId="77777777" w:rsidR="00303684" w:rsidRPr="00327213" w:rsidRDefault="00702250" w:rsidP="00EB57BB">
      <w:pPr>
        <w:pStyle w:val="ArticleHeading"/>
        <w:rPr>
          <w:color w:val="auto"/>
          <w:u w:val="single"/>
        </w:rPr>
      </w:pPr>
      <w:r w:rsidRPr="00327213">
        <w:rPr>
          <w:color w:val="auto"/>
          <w:u w:val="single"/>
        </w:rPr>
        <w:t>ARTICLE 6a</w:t>
      </w:r>
      <w:r w:rsidR="00EB57BB" w:rsidRPr="00327213">
        <w:rPr>
          <w:color w:val="auto"/>
          <w:u w:val="single"/>
        </w:rPr>
        <w:t xml:space="preserve">. </w:t>
      </w:r>
      <w:r w:rsidRPr="00327213">
        <w:rPr>
          <w:color w:val="auto"/>
          <w:u w:val="single"/>
        </w:rPr>
        <w:t xml:space="preserve"> </w:t>
      </w:r>
      <w:r w:rsidR="00EB57BB" w:rsidRPr="00327213">
        <w:rPr>
          <w:color w:val="auto"/>
          <w:u w:val="single"/>
        </w:rPr>
        <w:t>BAN</w:t>
      </w:r>
      <w:r w:rsidR="008742B6" w:rsidRPr="00327213">
        <w:rPr>
          <w:color w:val="auto"/>
          <w:u w:val="single"/>
        </w:rPr>
        <w:t>-</w:t>
      </w:r>
      <w:r w:rsidR="00EB57BB" w:rsidRPr="00327213">
        <w:rPr>
          <w:color w:val="auto"/>
          <w:u w:val="single"/>
        </w:rPr>
        <w:t>THE</w:t>
      </w:r>
      <w:r w:rsidR="008742B6" w:rsidRPr="00327213">
        <w:rPr>
          <w:color w:val="auto"/>
          <w:u w:val="single"/>
        </w:rPr>
        <w:t>-</w:t>
      </w:r>
      <w:r w:rsidR="008A6FBD" w:rsidRPr="00327213">
        <w:rPr>
          <w:color w:val="auto"/>
          <w:u w:val="single"/>
        </w:rPr>
        <w:t>BOX ACT.</w:t>
      </w:r>
    </w:p>
    <w:p w14:paraId="13266859" w14:textId="77777777" w:rsidR="00D05E9E" w:rsidRPr="00327213" w:rsidRDefault="00D05E9E" w:rsidP="00EB57BB">
      <w:pPr>
        <w:pStyle w:val="SectionHeading"/>
        <w:rPr>
          <w:color w:val="auto"/>
          <w:u w:val="single"/>
        </w:rPr>
        <w:sectPr w:rsidR="00D05E9E" w:rsidRPr="00327213" w:rsidSect="00DA36E8">
          <w:type w:val="continuous"/>
          <w:pgSz w:w="12240" w:h="15840" w:code="1"/>
          <w:pgMar w:top="1440" w:right="1440" w:bottom="1440" w:left="1440" w:header="720" w:footer="720" w:gutter="0"/>
          <w:lnNumType w:countBy="1" w:restart="newSection"/>
          <w:cols w:space="720"/>
          <w:titlePg/>
          <w:docGrid w:linePitch="360"/>
        </w:sectPr>
      </w:pPr>
    </w:p>
    <w:p w14:paraId="437DD687" w14:textId="77777777" w:rsidR="008E61EE" w:rsidRPr="00327213" w:rsidRDefault="00DF16EC" w:rsidP="00EB57BB">
      <w:pPr>
        <w:pStyle w:val="SectionHeading"/>
        <w:rPr>
          <w:color w:val="auto"/>
          <w:u w:val="single"/>
        </w:rPr>
      </w:pPr>
      <w:r w:rsidRPr="00327213">
        <w:rPr>
          <w:color w:val="auto"/>
          <w:u w:val="single"/>
        </w:rPr>
        <w:t>§</w:t>
      </w:r>
      <w:r w:rsidR="008E61EE" w:rsidRPr="00327213">
        <w:rPr>
          <w:color w:val="auto"/>
          <w:u w:val="single"/>
        </w:rPr>
        <w:t>29</w:t>
      </w:r>
      <w:r w:rsidR="008742B6" w:rsidRPr="00327213">
        <w:rPr>
          <w:color w:val="auto"/>
          <w:u w:val="single"/>
        </w:rPr>
        <w:t>-</w:t>
      </w:r>
      <w:r w:rsidR="008E61EE" w:rsidRPr="00327213">
        <w:rPr>
          <w:color w:val="auto"/>
          <w:u w:val="single"/>
        </w:rPr>
        <w:t>6A</w:t>
      </w:r>
      <w:r w:rsidR="008742B6" w:rsidRPr="00327213">
        <w:rPr>
          <w:color w:val="auto"/>
          <w:u w:val="single"/>
        </w:rPr>
        <w:t>-</w:t>
      </w:r>
      <w:r w:rsidR="008E61EE" w:rsidRPr="00327213">
        <w:rPr>
          <w:color w:val="auto"/>
          <w:u w:val="single"/>
        </w:rPr>
        <w:t>1.</w:t>
      </w:r>
      <w:r w:rsidR="008A6FBD" w:rsidRPr="00327213">
        <w:rPr>
          <w:color w:val="auto"/>
          <w:u w:val="single"/>
        </w:rPr>
        <w:t xml:space="preserve"> Findings.</w:t>
      </w:r>
    </w:p>
    <w:p w14:paraId="4D9BDBB9" w14:textId="77777777" w:rsidR="008E61EE" w:rsidRPr="00327213" w:rsidRDefault="008E61EE" w:rsidP="008E61EE">
      <w:pPr>
        <w:pStyle w:val="SectionBody"/>
        <w:rPr>
          <w:color w:val="auto"/>
          <w:u w:val="single"/>
        </w:rPr>
      </w:pPr>
      <w:r w:rsidRPr="00327213">
        <w:rPr>
          <w:color w:val="auto"/>
          <w:u w:val="single"/>
        </w:rPr>
        <w:t xml:space="preserve">The Legislature </w:t>
      </w:r>
      <w:r w:rsidR="008A6FBD" w:rsidRPr="00327213">
        <w:rPr>
          <w:color w:val="auto"/>
          <w:u w:val="single"/>
        </w:rPr>
        <w:t>finds</w:t>
      </w:r>
      <w:r w:rsidRPr="00327213">
        <w:rPr>
          <w:color w:val="auto"/>
          <w:u w:val="single"/>
        </w:rPr>
        <w:t xml:space="preserve"> that it is the duty of </w:t>
      </w:r>
      <w:r w:rsidR="00DF16EC" w:rsidRPr="00327213">
        <w:rPr>
          <w:color w:val="auto"/>
          <w:u w:val="single"/>
        </w:rPr>
        <w:t>the State of West Virginia</w:t>
      </w:r>
      <w:r w:rsidRPr="00327213">
        <w:rPr>
          <w:color w:val="auto"/>
          <w:u w:val="single"/>
        </w:rPr>
        <w:t xml:space="preserve"> to encourage and contribute to the successful reintegration of people with a criminal history. The ability to procure meaningful employment is essential to reinstating good citizenship.  The Legislature also </w:t>
      </w:r>
      <w:r w:rsidR="008A6FBD" w:rsidRPr="00327213">
        <w:rPr>
          <w:color w:val="auto"/>
          <w:u w:val="single"/>
        </w:rPr>
        <w:t>find</w:t>
      </w:r>
      <w:r w:rsidRPr="00327213">
        <w:rPr>
          <w:color w:val="auto"/>
          <w:u w:val="single"/>
        </w:rPr>
        <w:t>s that reducing barriers to employment for persons with a criminal history is a matter of statewide concern and that increasing employment opportunities will reduce recidivism and improve community stability.</w:t>
      </w:r>
    </w:p>
    <w:p w14:paraId="6F492A83" w14:textId="77777777" w:rsidR="00D05E9E" w:rsidRPr="00327213" w:rsidRDefault="00D05E9E" w:rsidP="00EB57BB">
      <w:pPr>
        <w:pStyle w:val="SectionHeading"/>
        <w:rPr>
          <w:color w:val="auto"/>
          <w:u w:val="single"/>
        </w:rPr>
        <w:sectPr w:rsidR="00D05E9E" w:rsidRPr="00327213" w:rsidSect="00DA36E8">
          <w:type w:val="continuous"/>
          <w:pgSz w:w="12240" w:h="15840" w:code="1"/>
          <w:pgMar w:top="1440" w:right="1440" w:bottom="1440" w:left="1440" w:header="720" w:footer="720" w:gutter="0"/>
          <w:lnNumType w:countBy="1" w:restart="newSection"/>
          <w:cols w:space="720"/>
          <w:titlePg/>
          <w:docGrid w:linePitch="360"/>
        </w:sectPr>
      </w:pPr>
    </w:p>
    <w:p w14:paraId="64F0C96A" w14:textId="77777777" w:rsidR="008E61EE" w:rsidRPr="00327213" w:rsidRDefault="00DF16EC" w:rsidP="00EB57BB">
      <w:pPr>
        <w:pStyle w:val="SectionHeading"/>
        <w:rPr>
          <w:color w:val="auto"/>
          <w:u w:val="single"/>
        </w:rPr>
      </w:pPr>
      <w:r w:rsidRPr="00327213">
        <w:rPr>
          <w:color w:val="auto"/>
          <w:u w:val="single"/>
        </w:rPr>
        <w:t>§</w:t>
      </w:r>
      <w:r w:rsidR="008E61EE" w:rsidRPr="00327213">
        <w:rPr>
          <w:color w:val="auto"/>
          <w:u w:val="single"/>
        </w:rPr>
        <w:t>29</w:t>
      </w:r>
      <w:r w:rsidR="008742B6" w:rsidRPr="00327213">
        <w:rPr>
          <w:color w:val="auto"/>
          <w:u w:val="single"/>
        </w:rPr>
        <w:t>-</w:t>
      </w:r>
      <w:r w:rsidR="008E61EE" w:rsidRPr="00327213">
        <w:rPr>
          <w:color w:val="auto"/>
          <w:u w:val="single"/>
        </w:rPr>
        <w:t>6A</w:t>
      </w:r>
      <w:r w:rsidR="008742B6" w:rsidRPr="00327213">
        <w:rPr>
          <w:color w:val="auto"/>
          <w:u w:val="single"/>
        </w:rPr>
        <w:t>-</w:t>
      </w:r>
      <w:r w:rsidR="008E61EE" w:rsidRPr="00327213">
        <w:rPr>
          <w:color w:val="auto"/>
          <w:u w:val="single"/>
        </w:rPr>
        <w:t>2. Short title; scope.</w:t>
      </w:r>
    </w:p>
    <w:p w14:paraId="046BE205" w14:textId="77777777" w:rsidR="008E61EE" w:rsidRPr="00327213" w:rsidRDefault="008E61EE" w:rsidP="008E61EE">
      <w:pPr>
        <w:pStyle w:val="SectionBody"/>
        <w:rPr>
          <w:color w:val="auto"/>
          <w:u w:val="single"/>
        </w:rPr>
      </w:pPr>
      <w:r w:rsidRPr="00327213">
        <w:rPr>
          <w:color w:val="auto"/>
          <w:u w:val="single"/>
        </w:rPr>
        <w:t>(a) This article may be known and cited as the “Ban</w:t>
      </w:r>
      <w:r w:rsidR="008742B6" w:rsidRPr="00327213">
        <w:rPr>
          <w:color w:val="auto"/>
          <w:u w:val="single"/>
        </w:rPr>
        <w:t>-</w:t>
      </w:r>
      <w:r w:rsidRPr="00327213">
        <w:rPr>
          <w:color w:val="auto"/>
          <w:u w:val="single"/>
        </w:rPr>
        <w:t>the</w:t>
      </w:r>
      <w:r w:rsidR="008742B6" w:rsidRPr="00327213">
        <w:rPr>
          <w:color w:val="auto"/>
          <w:u w:val="single"/>
        </w:rPr>
        <w:t>-</w:t>
      </w:r>
      <w:r w:rsidRPr="00327213">
        <w:rPr>
          <w:color w:val="auto"/>
          <w:u w:val="single"/>
        </w:rPr>
        <w:t>Box Act.”</w:t>
      </w:r>
    </w:p>
    <w:p w14:paraId="39CA8C9E" w14:textId="77777777" w:rsidR="008E61EE" w:rsidRPr="00327213" w:rsidRDefault="008E61EE" w:rsidP="008E61EE">
      <w:pPr>
        <w:pStyle w:val="SectionBody"/>
        <w:rPr>
          <w:color w:val="auto"/>
          <w:u w:val="single"/>
        </w:rPr>
      </w:pPr>
      <w:r w:rsidRPr="00327213">
        <w:rPr>
          <w:color w:val="auto"/>
          <w:u w:val="single"/>
        </w:rPr>
        <w:t>(b) This article only applies to public employers and does not apply to private employers.</w:t>
      </w:r>
    </w:p>
    <w:p w14:paraId="2A816915" w14:textId="77777777" w:rsidR="008E61EE" w:rsidRPr="00327213" w:rsidRDefault="008E61EE" w:rsidP="008E61EE">
      <w:pPr>
        <w:pStyle w:val="SectionBody"/>
        <w:rPr>
          <w:color w:val="auto"/>
          <w:u w:val="single"/>
        </w:rPr>
      </w:pPr>
      <w:r w:rsidRPr="00327213">
        <w:rPr>
          <w:color w:val="auto"/>
          <w:u w:val="single"/>
        </w:rPr>
        <w:t>(c) This article is not applicable to public employers that require, by state or federal law, a criminal history inquiry as a preliminary qualification to be considered for public employment. Those positions may include law enforcement, community safety, civil service, and any position that involves direct interaction with minors or the elderly.</w:t>
      </w:r>
    </w:p>
    <w:p w14:paraId="41A922BF" w14:textId="77777777" w:rsidR="008E61EE" w:rsidRPr="00327213" w:rsidRDefault="008E61EE" w:rsidP="008E61EE">
      <w:pPr>
        <w:pStyle w:val="SectionBody"/>
        <w:rPr>
          <w:color w:val="auto"/>
          <w:u w:val="single"/>
        </w:rPr>
      </w:pPr>
      <w:r w:rsidRPr="00327213">
        <w:rPr>
          <w:color w:val="auto"/>
          <w:u w:val="single"/>
        </w:rPr>
        <w:t>(d) This article does not apply to the practice of law, but nothing in this article precludes the Supreme Court of Appeals, in its discretion, from adopting the policies set forth in this article.</w:t>
      </w:r>
    </w:p>
    <w:p w14:paraId="10A6C43E" w14:textId="77777777" w:rsidR="008E61EE" w:rsidRPr="00327213" w:rsidRDefault="008E61EE" w:rsidP="008E61EE">
      <w:pPr>
        <w:pStyle w:val="SectionBody"/>
        <w:rPr>
          <w:color w:val="auto"/>
          <w:u w:val="single"/>
        </w:rPr>
      </w:pPr>
      <w:r w:rsidRPr="00327213">
        <w:rPr>
          <w:color w:val="auto"/>
          <w:u w:val="single"/>
        </w:rPr>
        <w:t>(e) This article encourages similar hiring practices among local governments and private employers operating within the state.</w:t>
      </w:r>
    </w:p>
    <w:p w14:paraId="68C3439B" w14:textId="77777777" w:rsidR="00D05E9E" w:rsidRPr="00327213" w:rsidRDefault="00D05E9E" w:rsidP="00EB57BB">
      <w:pPr>
        <w:pStyle w:val="SectionHeading"/>
        <w:rPr>
          <w:color w:val="auto"/>
          <w:u w:val="single"/>
        </w:rPr>
        <w:sectPr w:rsidR="00D05E9E" w:rsidRPr="00327213" w:rsidSect="00DA36E8">
          <w:type w:val="continuous"/>
          <w:pgSz w:w="12240" w:h="15840" w:code="1"/>
          <w:pgMar w:top="1440" w:right="1440" w:bottom="1440" w:left="1440" w:header="720" w:footer="720" w:gutter="0"/>
          <w:lnNumType w:countBy="1" w:restart="newSection"/>
          <w:cols w:space="720"/>
          <w:titlePg/>
          <w:docGrid w:linePitch="360"/>
        </w:sectPr>
      </w:pPr>
    </w:p>
    <w:p w14:paraId="26057D48" w14:textId="77777777" w:rsidR="008E61EE" w:rsidRPr="00327213" w:rsidRDefault="00DF16EC" w:rsidP="00EB57BB">
      <w:pPr>
        <w:pStyle w:val="SectionHeading"/>
        <w:rPr>
          <w:color w:val="auto"/>
          <w:u w:val="single"/>
        </w:rPr>
      </w:pPr>
      <w:r w:rsidRPr="00327213">
        <w:rPr>
          <w:color w:val="auto"/>
          <w:u w:val="single"/>
        </w:rPr>
        <w:t>§</w:t>
      </w:r>
      <w:r w:rsidR="008E61EE" w:rsidRPr="00327213">
        <w:rPr>
          <w:color w:val="auto"/>
          <w:u w:val="single"/>
        </w:rPr>
        <w:t>29</w:t>
      </w:r>
      <w:r w:rsidR="008742B6" w:rsidRPr="00327213">
        <w:rPr>
          <w:color w:val="auto"/>
          <w:u w:val="single"/>
        </w:rPr>
        <w:t>-</w:t>
      </w:r>
      <w:r w:rsidR="008E61EE" w:rsidRPr="00327213">
        <w:rPr>
          <w:color w:val="auto"/>
          <w:u w:val="single"/>
        </w:rPr>
        <w:t>6A</w:t>
      </w:r>
      <w:r w:rsidR="008742B6" w:rsidRPr="00327213">
        <w:rPr>
          <w:color w:val="auto"/>
          <w:u w:val="single"/>
        </w:rPr>
        <w:t>-</w:t>
      </w:r>
      <w:r w:rsidR="008E61EE" w:rsidRPr="00327213">
        <w:rPr>
          <w:color w:val="auto"/>
          <w:u w:val="single"/>
        </w:rPr>
        <w:t>3. Definitions.</w:t>
      </w:r>
    </w:p>
    <w:p w14:paraId="3BA4032E" w14:textId="77777777" w:rsidR="008E61EE" w:rsidRPr="00327213" w:rsidRDefault="008E61EE" w:rsidP="008E61EE">
      <w:pPr>
        <w:pStyle w:val="SectionBody"/>
        <w:rPr>
          <w:color w:val="auto"/>
          <w:u w:val="single"/>
        </w:rPr>
      </w:pPr>
      <w:r w:rsidRPr="00327213">
        <w:rPr>
          <w:color w:val="auto"/>
          <w:u w:val="single"/>
        </w:rPr>
        <w:lastRenderedPageBreak/>
        <w:t>For purposes of this article:</w:t>
      </w:r>
    </w:p>
    <w:p w14:paraId="1E1AD541" w14:textId="77777777" w:rsidR="00EB57BB" w:rsidRPr="00327213" w:rsidRDefault="00EB57BB" w:rsidP="00EB57BB">
      <w:pPr>
        <w:pStyle w:val="SectionBody"/>
        <w:rPr>
          <w:color w:val="auto"/>
          <w:u w:val="single"/>
        </w:rPr>
      </w:pPr>
      <w:r w:rsidRPr="00327213">
        <w:rPr>
          <w:color w:val="auto"/>
          <w:u w:val="single"/>
        </w:rPr>
        <w:t>“Applicant” means any person considered for, or who requests to be considered for, public employment or any current employee considered for, or who requests to be considered for, another position of public employment.</w:t>
      </w:r>
    </w:p>
    <w:p w14:paraId="0673D46A" w14:textId="77777777" w:rsidR="00EB57BB" w:rsidRPr="00327213" w:rsidRDefault="00EB57BB" w:rsidP="00EB57BB">
      <w:pPr>
        <w:pStyle w:val="SectionBody"/>
        <w:rPr>
          <w:color w:val="auto"/>
          <w:u w:val="single"/>
        </w:rPr>
      </w:pPr>
      <w:r w:rsidRPr="00327213">
        <w:rPr>
          <w:color w:val="auto"/>
          <w:u w:val="single"/>
        </w:rPr>
        <w:t>“Criminal history” means a state or federal conviction of a crime, whether a misdemeanor or felony, that bears upon an applicant’s fitness for public employment.</w:t>
      </w:r>
    </w:p>
    <w:p w14:paraId="24A8AA05" w14:textId="77777777" w:rsidR="001D64F7" w:rsidRPr="00327213" w:rsidRDefault="001D64F7" w:rsidP="001D64F7">
      <w:pPr>
        <w:pStyle w:val="SectionBody"/>
        <w:rPr>
          <w:color w:val="auto"/>
          <w:u w:val="single"/>
        </w:rPr>
      </w:pPr>
      <w:r w:rsidRPr="00327213">
        <w:rPr>
          <w:color w:val="auto"/>
          <w:u w:val="single"/>
        </w:rPr>
        <w:t>“Inquiry” means any direct or indirect conduct intended to gather information, using any mode of communication.</w:t>
      </w:r>
    </w:p>
    <w:p w14:paraId="758F4E8A" w14:textId="77777777" w:rsidR="008E61EE" w:rsidRPr="00327213" w:rsidRDefault="008E61EE" w:rsidP="001D64F7">
      <w:pPr>
        <w:pStyle w:val="SectionBody"/>
        <w:rPr>
          <w:color w:val="auto"/>
          <w:u w:val="single"/>
        </w:rPr>
      </w:pPr>
      <w:r w:rsidRPr="00327213">
        <w:rPr>
          <w:color w:val="auto"/>
          <w:u w:val="single"/>
        </w:rPr>
        <w:t xml:space="preserve">“Public </w:t>
      </w:r>
      <w:r w:rsidR="001D64F7" w:rsidRPr="00327213">
        <w:rPr>
          <w:color w:val="auto"/>
          <w:u w:val="single"/>
        </w:rPr>
        <w:t>e</w:t>
      </w:r>
      <w:r w:rsidRPr="00327213">
        <w:rPr>
          <w:color w:val="auto"/>
          <w:u w:val="single"/>
        </w:rPr>
        <w:t xml:space="preserve">mployer” means </w:t>
      </w:r>
      <w:r w:rsidR="00DF16EC" w:rsidRPr="00327213">
        <w:rPr>
          <w:color w:val="auto"/>
          <w:u w:val="single"/>
        </w:rPr>
        <w:t>the State of West Virginia</w:t>
      </w:r>
      <w:r w:rsidRPr="00327213">
        <w:rPr>
          <w:color w:val="auto"/>
          <w:u w:val="single"/>
        </w:rPr>
        <w:t>, its agencies, boards</w:t>
      </w:r>
      <w:r w:rsidR="001D64F7" w:rsidRPr="00327213">
        <w:rPr>
          <w:color w:val="auto"/>
          <w:u w:val="single"/>
        </w:rPr>
        <w:t xml:space="preserve"> and </w:t>
      </w:r>
      <w:r w:rsidRPr="00327213">
        <w:rPr>
          <w:color w:val="auto"/>
          <w:u w:val="single"/>
        </w:rPr>
        <w:t>commissions.</w:t>
      </w:r>
    </w:p>
    <w:p w14:paraId="15C50457" w14:textId="77777777" w:rsidR="00D05E9E" w:rsidRPr="00327213" w:rsidRDefault="00D05E9E" w:rsidP="00EB57BB">
      <w:pPr>
        <w:pStyle w:val="SectionHeading"/>
        <w:rPr>
          <w:color w:val="auto"/>
          <w:u w:val="single"/>
        </w:rPr>
        <w:sectPr w:rsidR="00D05E9E" w:rsidRPr="00327213" w:rsidSect="00DA36E8">
          <w:type w:val="continuous"/>
          <w:pgSz w:w="12240" w:h="15840" w:code="1"/>
          <w:pgMar w:top="1440" w:right="1440" w:bottom="1440" w:left="1440" w:header="720" w:footer="720" w:gutter="0"/>
          <w:lnNumType w:countBy="1" w:restart="newSection"/>
          <w:cols w:space="720"/>
          <w:docGrid w:linePitch="360"/>
        </w:sectPr>
      </w:pPr>
    </w:p>
    <w:p w14:paraId="424428FD" w14:textId="77777777" w:rsidR="008E61EE" w:rsidRPr="00327213" w:rsidRDefault="00DF16EC" w:rsidP="00EB57BB">
      <w:pPr>
        <w:pStyle w:val="SectionHeading"/>
        <w:rPr>
          <w:color w:val="auto"/>
          <w:u w:val="single"/>
        </w:rPr>
      </w:pPr>
      <w:r w:rsidRPr="00327213">
        <w:rPr>
          <w:color w:val="auto"/>
          <w:u w:val="single"/>
        </w:rPr>
        <w:t>§</w:t>
      </w:r>
      <w:r w:rsidR="008E61EE" w:rsidRPr="00327213">
        <w:rPr>
          <w:color w:val="auto"/>
          <w:u w:val="single"/>
        </w:rPr>
        <w:t>29</w:t>
      </w:r>
      <w:r w:rsidR="008742B6" w:rsidRPr="00327213">
        <w:rPr>
          <w:color w:val="auto"/>
          <w:u w:val="single"/>
        </w:rPr>
        <w:t>-</w:t>
      </w:r>
      <w:r w:rsidR="008E61EE" w:rsidRPr="00327213">
        <w:rPr>
          <w:color w:val="auto"/>
          <w:u w:val="single"/>
        </w:rPr>
        <w:t>6A</w:t>
      </w:r>
      <w:r w:rsidR="008742B6" w:rsidRPr="00327213">
        <w:rPr>
          <w:color w:val="auto"/>
          <w:u w:val="single"/>
        </w:rPr>
        <w:t>-</w:t>
      </w:r>
      <w:r w:rsidR="008E61EE" w:rsidRPr="00327213">
        <w:rPr>
          <w:color w:val="auto"/>
          <w:u w:val="single"/>
        </w:rPr>
        <w:t>4. Criminal history.</w:t>
      </w:r>
    </w:p>
    <w:p w14:paraId="4BE55244" w14:textId="77777777" w:rsidR="008E61EE" w:rsidRPr="00327213" w:rsidRDefault="008E61EE" w:rsidP="008E61EE">
      <w:pPr>
        <w:pStyle w:val="SectionBody"/>
        <w:rPr>
          <w:color w:val="auto"/>
          <w:u w:val="single"/>
        </w:rPr>
      </w:pPr>
      <w:r w:rsidRPr="00327213">
        <w:rPr>
          <w:color w:val="auto"/>
          <w:u w:val="single"/>
        </w:rPr>
        <w:t>(a) A public employer may not ask an applicant to disclose, orally or in writing, information concerning the applicant’s criminal record or history, including any inquiry on any employment application, until the applicant has:</w:t>
      </w:r>
    </w:p>
    <w:p w14:paraId="3791EB2C" w14:textId="77777777" w:rsidR="008E61EE" w:rsidRPr="00327213" w:rsidRDefault="008E61EE" w:rsidP="008E61EE">
      <w:pPr>
        <w:pStyle w:val="SectionBody"/>
        <w:rPr>
          <w:color w:val="auto"/>
          <w:u w:val="single"/>
        </w:rPr>
      </w:pPr>
      <w:r w:rsidRPr="00327213">
        <w:rPr>
          <w:color w:val="auto"/>
          <w:u w:val="single"/>
        </w:rPr>
        <w:t>(1) Signed the appropriate waiver authorizing release;</w:t>
      </w:r>
    </w:p>
    <w:p w14:paraId="73F7C31C" w14:textId="77777777" w:rsidR="008E61EE" w:rsidRPr="00327213" w:rsidRDefault="008E61EE" w:rsidP="008E61EE">
      <w:pPr>
        <w:pStyle w:val="SectionBody"/>
        <w:rPr>
          <w:color w:val="auto"/>
          <w:u w:val="single"/>
        </w:rPr>
      </w:pPr>
      <w:r w:rsidRPr="00327213">
        <w:rPr>
          <w:color w:val="auto"/>
          <w:u w:val="single"/>
        </w:rPr>
        <w:t>(2) Is being considered for a specific position; and</w:t>
      </w:r>
    </w:p>
    <w:p w14:paraId="0304F7FF" w14:textId="77777777" w:rsidR="008E61EE" w:rsidRPr="00327213" w:rsidRDefault="008E61EE" w:rsidP="008E61EE">
      <w:pPr>
        <w:pStyle w:val="SectionBody"/>
        <w:rPr>
          <w:color w:val="auto"/>
          <w:u w:val="single"/>
        </w:rPr>
      </w:pPr>
      <w:r w:rsidRPr="00327213">
        <w:rPr>
          <w:color w:val="auto"/>
          <w:u w:val="single"/>
        </w:rPr>
        <w:t>(3) Has received an interview.</w:t>
      </w:r>
    </w:p>
    <w:p w14:paraId="70AA979F" w14:textId="77777777" w:rsidR="008E61EE" w:rsidRPr="00327213" w:rsidRDefault="008E61EE" w:rsidP="008E61EE">
      <w:pPr>
        <w:pStyle w:val="SectionBody"/>
        <w:rPr>
          <w:color w:val="auto"/>
          <w:u w:val="single"/>
        </w:rPr>
      </w:pPr>
      <w:r w:rsidRPr="00327213">
        <w:rPr>
          <w:color w:val="auto"/>
          <w:u w:val="single"/>
        </w:rPr>
        <w:t>(b) Where a background check has been lawfully completed and a criminal history exists, the state shall consider the following criteria before either proffering or denying an offer of employment:</w:t>
      </w:r>
    </w:p>
    <w:p w14:paraId="5B87B27D" w14:textId="77777777" w:rsidR="008E61EE" w:rsidRPr="00327213" w:rsidRDefault="008E61EE" w:rsidP="008E61EE">
      <w:pPr>
        <w:pStyle w:val="SectionBody"/>
        <w:rPr>
          <w:color w:val="auto"/>
          <w:u w:val="single"/>
        </w:rPr>
      </w:pPr>
      <w:r w:rsidRPr="00327213">
        <w:rPr>
          <w:color w:val="auto"/>
          <w:u w:val="single"/>
        </w:rPr>
        <w:t>(1) The nature and gravity of the offense;</w:t>
      </w:r>
    </w:p>
    <w:p w14:paraId="7FD73C66" w14:textId="77777777" w:rsidR="008E61EE" w:rsidRPr="00327213" w:rsidRDefault="008E61EE" w:rsidP="008E61EE">
      <w:pPr>
        <w:pStyle w:val="SectionBody"/>
        <w:rPr>
          <w:color w:val="auto"/>
          <w:u w:val="single"/>
        </w:rPr>
      </w:pPr>
      <w:r w:rsidRPr="00327213">
        <w:rPr>
          <w:color w:val="auto"/>
          <w:u w:val="single"/>
        </w:rPr>
        <w:t>(2) The length of time that has elapsed since the offense occurred;</w:t>
      </w:r>
    </w:p>
    <w:p w14:paraId="7F3510D5" w14:textId="77777777" w:rsidR="008E61EE" w:rsidRPr="00327213" w:rsidRDefault="008E61EE" w:rsidP="008E61EE">
      <w:pPr>
        <w:pStyle w:val="SectionBody"/>
        <w:rPr>
          <w:color w:val="auto"/>
          <w:u w:val="single"/>
        </w:rPr>
      </w:pPr>
      <w:r w:rsidRPr="00327213">
        <w:rPr>
          <w:color w:val="auto"/>
          <w:u w:val="single"/>
        </w:rPr>
        <w:t>(3) The age of the person at the time of the conviction;</w:t>
      </w:r>
    </w:p>
    <w:p w14:paraId="31D3BE48" w14:textId="77777777" w:rsidR="008E61EE" w:rsidRPr="00327213" w:rsidRDefault="008E61EE" w:rsidP="008E61EE">
      <w:pPr>
        <w:pStyle w:val="SectionBody"/>
        <w:rPr>
          <w:color w:val="auto"/>
          <w:u w:val="single"/>
        </w:rPr>
      </w:pPr>
      <w:r w:rsidRPr="00327213">
        <w:rPr>
          <w:color w:val="auto"/>
          <w:u w:val="single"/>
        </w:rPr>
        <w:t>(4) Whether the offense is reasonably related to the duties and responsibilities of the employment sought by the applicant; and</w:t>
      </w:r>
    </w:p>
    <w:p w14:paraId="23379039" w14:textId="77777777" w:rsidR="008E61EE" w:rsidRPr="00327213" w:rsidRDefault="008E61EE" w:rsidP="008E61EE">
      <w:pPr>
        <w:pStyle w:val="SectionBody"/>
        <w:rPr>
          <w:color w:val="auto"/>
          <w:u w:val="single"/>
        </w:rPr>
      </w:pPr>
      <w:r w:rsidRPr="00327213">
        <w:rPr>
          <w:color w:val="auto"/>
          <w:u w:val="single"/>
        </w:rPr>
        <w:t>(5) Any information pertaining to the degree of</w:t>
      </w:r>
      <w:r w:rsidR="00CD23B8" w:rsidRPr="00327213">
        <w:rPr>
          <w:color w:val="auto"/>
          <w:u w:val="single"/>
        </w:rPr>
        <w:t xml:space="preserve"> the applicant’s</w:t>
      </w:r>
      <w:r w:rsidRPr="00327213">
        <w:rPr>
          <w:color w:val="auto"/>
          <w:u w:val="single"/>
        </w:rPr>
        <w:t xml:space="preserve"> rehabilitation</w:t>
      </w:r>
      <w:r w:rsidR="00A2140C" w:rsidRPr="00327213">
        <w:rPr>
          <w:color w:val="auto"/>
          <w:u w:val="single"/>
        </w:rPr>
        <w:t>, if any</w:t>
      </w:r>
      <w:r w:rsidRPr="00327213">
        <w:rPr>
          <w:color w:val="auto"/>
          <w:u w:val="single"/>
        </w:rPr>
        <w:t>.</w:t>
      </w:r>
    </w:p>
    <w:p w14:paraId="25A499CC" w14:textId="77777777" w:rsidR="008E61EE" w:rsidRPr="00327213" w:rsidRDefault="008E61EE" w:rsidP="008E61EE">
      <w:pPr>
        <w:pStyle w:val="SectionBody"/>
        <w:rPr>
          <w:color w:val="auto"/>
          <w:u w:val="single"/>
        </w:rPr>
      </w:pPr>
      <w:r w:rsidRPr="00327213">
        <w:rPr>
          <w:color w:val="auto"/>
          <w:u w:val="single"/>
        </w:rPr>
        <w:lastRenderedPageBreak/>
        <w:t>(c) A record of arrest that did not result in conviction may not be the basis for disqualification from public employment.</w:t>
      </w:r>
    </w:p>
    <w:p w14:paraId="36ACFEB4" w14:textId="77777777" w:rsidR="008E61EE" w:rsidRPr="00327213" w:rsidRDefault="008E61EE" w:rsidP="008E61EE">
      <w:pPr>
        <w:pStyle w:val="SectionBody"/>
        <w:rPr>
          <w:color w:val="auto"/>
          <w:u w:val="single"/>
        </w:rPr>
      </w:pPr>
      <w:r w:rsidRPr="00327213">
        <w:rPr>
          <w:color w:val="auto"/>
          <w:u w:val="single"/>
        </w:rPr>
        <w:t>(d) The public employer shall inform the applicant of the potential adverse employment decision based on the background check report prior to a final decision and shall provide an opportunity to demonstrate that the applicant was not correctly identified in the background check report or that the report is otherwise inaccurate.</w:t>
      </w:r>
    </w:p>
    <w:p w14:paraId="25B3FFD5" w14:textId="77777777" w:rsidR="00D05E9E" w:rsidRPr="00327213" w:rsidRDefault="00D05E9E" w:rsidP="00EB57BB">
      <w:pPr>
        <w:pStyle w:val="SectionHeading"/>
        <w:rPr>
          <w:color w:val="auto"/>
          <w:u w:val="single"/>
        </w:rPr>
        <w:sectPr w:rsidR="00D05E9E" w:rsidRPr="00327213" w:rsidSect="00DA36E8">
          <w:type w:val="continuous"/>
          <w:pgSz w:w="12240" w:h="15840" w:code="1"/>
          <w:pgMar w:top="1440" w:right="1440" w:bottom="1440" w:left="1440" w:header="720" w:footer="720" w:gutter="0"/>
          <w:lnNumType w:countBy="1" w:restart="newSection"/>
          <w:cols w:space="720"/>
          <w:docGrid w:linePitch="360"/>
        </w:sectPr>
      </w:pPr>
    </w:p>
    <w:p w14:paraId="056A49F3" w14:textId="77777777" w:rsidR="008E61EE" w:rsidRPr="00327213" w:rsidRDefault="00DF16EC" w:rsidP="00EB57BB">
      <w:pPr>
        <w:pStyle w:val="SectionHeading"/>
        <w:rPr>
          <w:color w:val="auto"/>
          <w:u w:val="single"/>
        </w:rPr>
      </w:pPr>
      <w:r w:rsidRPr="00327213">
        <w:rPr>
          <w:color w:val="auto"/>
          <w:u w:val="single"/>
        </w:rPr>
        <w:t>§</w:t>
      </w:r>
      <w:r w:rsidR="008E61EE" w:rsidRPr="00327213">
        <w:rPr>
          <w:color w:val="auto"/>
          <w:u w:val="single"/>
        </w:rPr>
        <w:t>29</w:t>
      </w:r>
      <w:r w:rsidR="008742B6" w:rsidRPr="00327213">
        <w:rPr>
          <w:color w:val="auto"/>
          <w:u w:val="single"/>
        </w:rPr>
        <w:t>-</w:t>
      </w:r>
      <w:r w:rsidR="008E61EE" w:rsidRPr="00327213">
        <w:rPr>
          <w:color w:val="auto"/>
          <w:u w:val="single"/>
        </w:rPr>
        <w:t>6A</w:t>
      </w:r>
      <w:r w:rsidR="008742B6" w:rsidRPr="00327213">
        <w:rPr>
          <w:color w:val="auto"/>
          <w:u w:val="single"/>
        </w:rPr>
        <w:t>-</w:t>
      </w:r>
      <w:r w:rsidR="008E61EE" w:rsidRPr="00327213">
        <w:rPr>
          <w:color w:val="auto"/>
          <w:u w:val="single"/>
        </w:rPr>
        <w:t>5. Remedies.</w:t>
      </w:r>
    </w:p>
    <w:p w14:paraId="59A3B243" w14:textId="77777777" w:rsidR="008736AA" w:rsidRPr="00327213" w:rsidRDefault="008E61EE" w:rsidP="008E61EE">
      <w:pPr>
        <w:pStyle w:val="SectionBody"/>
        <w:rPr>
          <w:color w:val="auto"/>
        </w:rPr>
      </w:pPr>
      <w:r w:rsidRPr="00327213">
        <w:rPr>
          <w:color w:val="auto"/>
          <w:u w:val="single"/>
        </w:rPr>
        <w:t>A complaint or grievance concerning violations of this article by public employers shall be processed and adjudicated in accordance with the procedures of article five, chapter twenty</w:t>
      </w:r>
      <w:r w:rsidR="008742B6" w:rsidRPr="00327213">
        <w:rPr>
          <w:color w:val="auto"/>
          <w:u w:val="single"/>
        </w:rPr>
        <w:t>-</w:t>
      </w:r>
      <w:r w:rsidRPr="00327213">
        <w:rPr>
          <w:color w:val="auto"/>
          <w:u w:val="single"/>
        </w:rPr>
        <w:t>nine</w:t>
      </w:r>
      <w:r w:rsidR="008742B6" w:rsidRPr="00327213">
        <w:rPr>
          <w:color w:val="auto"/>
          <w:u w:val="single"/>
        </w:rPr>
        <w:t>-</w:t>
      </w:r>
      <w:r w:rsidRPr="00327213">
        <w:rPr>
          <w:color w:val="auto"/>
          <w:u w:val="single"/>
        </w:rPr>
        <w:t>a of this code.</w:t>
      </w:r>
    </w:p>
    <w:p w14:paraId="77FA9D03" w14:textId="77777777" w:rsidR="00C33014" w:rsidRPr="00327213" w:rsidRDefault="00C33014" w:rsidP="006865E9">
      <w:pPr>
        <w:pStyle w:val="Note"/>
        <w:rPr>
          <w:color w:val="auto"/>
        </w:rPr>
      </w:pPr>
    </w:p>
    <w:p w14:paraId="646672C6" w14:textId="77777777" w:rsidR="006865E9" w:rsidRPr="00327213" w:rsidRDefault="00CF1DCA" w:rsidP="006865E9">
      <w:pPr>
        <w:pStyle w:val="Note"/>
        <w:rPr>
          <w:color w:val="auto"/>
        </w:rPr>
      </w:pPr>
      <w:r w:rsidRPr="00327213">
        <w:rPr>
          <w:color w:val="auto"/>
        </w:rPr>
        <w:t>NOTE: The</w:t>
      </w:r>
      <w:r w:rsidR="006865E9" w:rsidRPr="00327213">
        <w:rPr>
          <w:color w:val="auto"/>
        </w:rPr>
        <w:t xml:space="preserve"> purpose of this bill is to </w:t>
      </w:r>
      <w:r w:rsidR="002D6D98" w:rsidRPr="00327213">
        <w:rPr>
          <w:color w:val="auto"/>
        </w:rPr>
        <w:t>enact the Ban-the-Box Act which prohibits public employers from asking applicants for employment to disclose information concerning the applicant’s criminal record or history, under certain circumstances</w:t>
      </w:r>
      <w:r w:rsidR="006865E9" w:rsidRPr="00327213">
        <w:rPr>
          <w:color w:val="auto"/>
        </w:rPr>
        <w:t>.</w:t>
      </w:r>
    </w:p>
    <w:p w14:paraId="494E0B58" w14:textId="77777777" w:rsidR="006865E9" w:rsidRPr="00327213" w:rsidRDefault="00AE48A0" w:rsidP="00AE48A0">
      <w:pPr>
        <w:pStyle w:val="Note"/>
        <w:rPr>
          <w:color w:val="auto"/>
        </w:rPr>
      </w:pPr>
      <w:r w:rsidRPr="00327213">
        <w:rPr>
          <w:color w:val="auto"/>
        </w:rPr>
        <w:t>Strike</w:t>
      </w:r>
      <w:r w:rsidR="008742B6" w:rsidRPr="00327213">
        <w:rPr>
          <w:color w:val="auto"/>
        </w:rPr>
        <w:t>-</w:t>
      </w:r>
      <w:r w:rsidRPr="00327213">
        <w:rPr>
          <w:color w:val="auto"/>
        </w:rPr>
        <w:t>throughs indicate language that would be stricken from a heading or the present law and underscoring indicates new language that would be added.</w:t>
      </w:r>
    </w:p>
    <w:sectPr w:rsidR="006865E9" w:rsidRPr="00327213" w:rsidSect="00DA36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DC7F5" w14:textId="77777777" w:rsidR="00CF1DCA" w:rsidRPr="00B844FE" w:rsidRDefault="00CF1DCA" w:rsidP="00B844FE">
      <w:r>
        <w:separator/>
      </w:r>
    </w:p>
  </w:endnote>
  <w:endnote w:type="continuationSeparator" w:id="0">
    <w:p w14:paraId="405B3745"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99B3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7546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59C5E0" w14:textId="77777777" w:rsidR="002A0269" w:rsidRDefault="00DF199D" w:rsidP="00DF199D">
        <w:pPr>
          <w:pStyle w:val="Footer"/>
          <w:jc w:val="center"/>
        </w:pPr>
        <w:r>
          <w:fldChar w:fldCharType="begin"/>
        </w:r>
        <w:r>
          <w:instrText xml:space="preserve"> PAGE   \* MERGEFORMAT </w:instrText>
        </w:r>
        <w:r>
          <w:fldChar w:fldCharType="separate"/>
        </w:r>
        <w:r w:rsidR="0035355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FAA5" w14:textId="77777777" w:rsidR="00CF1DCA" w:rsidRPr="00B844FE" w:rsidRDefault="00CF1DCA" w:rsidP="00B844FE">
      <w:r>
        <w:separator/>
      </w:r>
    </w:p>
  </w:footnote>
  <w:footnote w:type="continuationSeparator" w:id="0">
    <w:p w14:paraId="41171D11"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64ED1" w14:textId="77777777" w:rsidR="002A0269" w:rsidRPr="00B844FE" w:rsidRDefault="002C2668">
    <w:pPr>
      <w:pStyle w:val="Header"/>
    </w:pPr>
    <w:sdt>
      <w:sdtPr>
        <w:id w:val="-684364211"/>
        <w:placeholder>
          <w:docPart w:val="4A4FF9DFC25649E9B551B2BD82744BA4"/>
        </w:placeholder>
        <w:temporary/>
        <w:showingPlcHdr/>
        <w15:appearance w15:val="hidden"/>
      </w:sdtPr>
      <w:sdtEndPr/>
      <w:sdtContent>
        <w:r w:rsidR="00FD5B51"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FD5B5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8AE94" w14:textId="631AA214" w:rsidR="00C33014" w:rsidRPr="00C33014" w:rsidRDefault="004263D4" w:rsidP="00C33014">
    <w:pPr>
      <w:pStyle w:val="HeaderStyle"/>
    </w:pPr>
    <w:r>
      <w:t>Intr. HB</w:t>
    </w:r>
    <w:r w:rsidR="00C33014" w:rsidRPr="002A0269">
      <w:ptab w:relativeTo="margin" w:alignment="center" w:leader="none"/>
    </w:r>
    <w:r w:rsidR="00C33014">
      <w:tab/>
    </w:r>
    <w:r w:rsidR="000F441F">
      <w:rPr>
        <w:rStyle w:val="HeaderStyleChar"/>
      </w:rPr>
      <w:t>20</w:t>
    </w:r>
    <w:r>
      <w:rPr>
        <w:rStyle w:val="HeaderStyleChar"/>
      </w:rPr>
      <w:t>22R2054</w:t>
    </w:r>
  </w:p>
  <w:p w14:paraId="291E3D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5C6F" w14:textId="1BE74941"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81451"/>
    <w:rsid w:val="00085D22"/>
    <w:rsid w:val="000C5C77"/>
    <w:rsid w:val="000F441F"/>
    <w:rsid w:val="0010070F"/>
    <w:rsid w:val="00115E81"/>
    <w:rsid w:val="0015112E"/>
    <w:rsid w:val="001552E7"/>
    <w:rsid w:val="001566B4"/>
    <w:rsid w:val="001C279E"/>
    <w:rsid w:val="001D459E"/>
    <w:rsid w:val="001D64F7"/>
    <w:rsid w:val="00200982"/>
    <w:rsid w:val="0027011C"/>
    <w:rsid w:val="00274200"/>
    <w:rsid w:val="00275740"/>
    <w:rsid w:val="00283F2F"/>
    <w:rsid w:val="002A0269"/>
    <w:rsid w:val="002C2668"/>
    <w:rsid w:val="002D6D98"/>
    <w:rsid w:val="00303684"/>
    <w:rsid w:val="003143F5"/>
    <w:rsid w:val="00314854"/>
    <w:rsid w:val="00327213"/>
    <w:rsid w:val="00353551"/>
    <w:rsid w:val="003C51CD"/>
    <w:rsid w:val="004263D4"/>
    <w:rsid w:val="004C13DD"/>
    <w:rsid w:val="004E3441"/>
    <w:rsid w:val="005A5366"/>
    <w:rsid w:val="0063675C"/>
    <w:rsid w:val="00637E73"/>
    <w:rsid w:val="006865E9"/>
    <w:rsid w:val="00691F3E"/>
    <w:rsid w:val="00694BFB"/>
    <w:rsid w:val="006A106B"/>
    <w:rsid w:val="006C523D"/>
    <w:rsid w:val="006D4036"/>
    <w:rsid w:val="00702250"/>
    <w:rsid w:val="00791EEA"/>
    <w:rsid w:val="007A7081"/>
    <w:rsid w:val="007F1CF5"/>
    <w:rsid w:val="00834EDE"/>
    <w:rsid w:val="008456D4"/>
    <w:rsid w:val="008736AA"/>
    <w:rsid w:val="008742B6"/>
    <w:rsid w:val="00887C0D"/>
    <w:rsid w:val="008A6FBD"/>
    <w:rsid w:val="008A7B57"/>
    <w:rsid w:val="008D275D"/>
    <w:rsid w:val="008E61EE"/>
    <w:rsid w:val="0096272C"/>
    <w:rsid w:val="00980327"/>
    <w:rsid w:val="009F1067"/>
    <w:rsid w:val="00A2140C"/>
    <w:rsid w:val="00A31E01"/>
    <w:rsid w:val="00A37C9F"/>
    <w:rsid w:val="00A45EC4"/>
    <w:rsid w:val="00A527AD"/>
    <w:rsid w:val="00A63B51"/>
    <w:rsid w:val="00A718CF"/>
    <w:rsid w:val="00A91025"/>
    <w:rsid w:val="00AC3AB6"/>
    <w:rsid w:val="00AE48A0"/>
    <w:rsid w:val="00AE61BE"/>
    <w:rsid w:val="00B16F25"/>
    <w:rsid w:val="00B24422"/>
    <w:rsid w:val="00B2746B"/>
    <w:rsid w:val="00B80C20"/>
    <w:rsid w:val="00B844FE"/>
    <w:rsid w:val="00B86B4F"/>
    <w:rsid w:val="00BC562B"/>
    <w:rsid w:val="00BD61B7"/>
    <w:rsid w:val="00C33014"/>
    <w:rsid w:val="00C33434"/>
    <w:rsid w:val="00C34869"/>
    <w:rsid w:val="00C42EB6"/>
    <w:rsid w:val="00C75BA4"/>
    <w:rsid w:val="00C85096"/>
    <w:rsid w:val="00CB20EF"/>
    <w:rsid w:val="00CD12BA"/>
    <w:rsid w:val="00CD12CB"/>
    <w:rsid w:val="00CD23B8"/>
    <w:rsid w:val="00CD36CF"/>
    <w:rsid w:val="00CF1DCA"/>
    <w:rsid w:val="00CF78B1"/>
    <w:rsid w:val="00D05E9E"/>
    <w:rsid w:val="00D4466D"/>
    <w:rsid w:val="00D579FC"/>
    <w:rsid w:val="00D81C16"/>
    <w:rsid w:val="00DA36E8"/>
    <w:rsid w:val="00DE526B"/>
    <w:rsid w:val="00DF16EC"/>
    <w:rsid w:val="00DF199D"/>
    <w:rsid w:val="00E01542"/>
    <w:rsid w:val="00E365F1"/>
    <w:rsid w:val="00E62F48"/>
    <w:rsid w:val="00E831B3"/>
    <w:rsid w:val="00EA4631"/>
    <w:rsid w:val="00EB57BB"/>
    <w:rsid w:val="00EE70CB"/>
    <w:rsid w:val="00F33B83"/>
    <w:rsid w:val="00F41CA2"/>
    <w:rsid w:val="00F443C0"/>
    <w:rsid w:val="00F62EFB"/>
    <w:rsid w:val="00F77D31"/>
    <w:rsid w:val="00F9250E"/>
    <w:rsid w:val="00F939A4"/>
    <w:rsid w:val="00FA7B09"/>
    <w:rsid w:val="00FB7A91"/>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27F7C7"/>
  <w15:chartTrackingRefBased/>
  <w15:docId w15:val="{04EA8E1E-E09C-4247-89A1-6936AC6D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283F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053E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9053E8">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9053E8">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9053E8" w:rsidP="009053E8">
          <w:pPr>
            <w:pStyle w:val="72F96FE023FE4DCF8CE63779FEE0FE2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C865E9"/>
    <w:rsid w:val="00F1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053E8"/>
    <w:rPr>
      <w:color w:val="80808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83EE6-DAD5-4112-8374-3BF19899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2017-01-27T19:12:00Z</cp:lastPrinted>
  <dcterms:created xsi:type="dcterms:W3CDTF">2022-01-21T15:45:00Z</dcterms:created>
  <dcterms:modified xsi:type="dcterms:W3CDTF">2022-01-21T15:45:00Z</dcterms:modified>
</cp:coreProperties>
</file>